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5AC1042" w:rsidR="000F51B3" w:rsidRPr="00784F17" w:rsidRDefault="5FB42C24">
      <w:pPr>
        <w:rPr>
          <w:b/>
          <w:bCs/>
        </w:rPr>
      </w:pPr>
      <w:r w:rsidRPr="0C94938D">
        <w:rPr>
          <w:b/>
          <w:bCs/>
        </w:rPr>
        <w:t>Free courses</w:t>
      </w:r>
    </w:p>
    <w:p w14:paraId="46391884" w14:textId="7AA9C1F5" w:rsidR="00A6137D" w:rsidRDefault="01D92360" w:rsidP="0C94938D">
      <w:pPr>
        <w:pStyle w:val="ListParagraph"/>
        <w:numPr>
          <w:ilvl w:val="0"/>
          <w:numId w:val="5"/>
        </w:numPr>
        <w:rPr>
          <w:rFonts w:eastAsiaTheme="minorEastAsia"/>
        </w:rPr>
      </w:pPr>
      <w:r w:rsidRPr="0C94938D">
        <w:rPr>
          <w:b/>
          <w:bCs/>
        </w:rPr>
        <w:t xml:space="preserve">Coursera </w:t>
      </w:r>
      <w:r w:rsidR="5F6C3503" w:rsidRPr="0C94938D">
        <w:rPr>
          <w:b/>
          <w:bCs/>
        </w:rPr>
        <w:t>–</w:t>
      </w:r>
      <w:r w:rsidRPr="0C94938D">
        <w:rPr>
          <w:b/>
          <w:bCs/>
        </w:rPr>
        <w:t xml:space="preserve"> </w:t>
      </w:r>
      <w:hyperlink r:id="rId10">
        <w:r w:rsidR="7249B7C9" w:rsidRPr="0C94938D">
          <w:rPr>
            <w:rStyle w:val="Hyperlink"/>
            <w:b/>
            <w:bCs/>
          </w:rPr>
          <w:t>Driving business towards the Sustainable Development Goals</w:t>
        </w:r>
      </w:hyperlink>
      <w:r w:rsidR="3DCDB3B3" w:rsidRPr="0C94938D">
        <w:rPr>
          <w:b/>
          <w:bCs/>
        </w:rPr>
        <w:t xml:space="preserve"> </w:t>
      </w:r>
    </w:p>
    <w:p w14:paraId="10C7CDE8" w14:textId="7E01D89F" w:rsidR="00A6137D" w:rsidRDefault="04CA177D" w:rsidP="0C94938D">
      <w:pPr>
        <w:pStyle w:val="ListParagraph"/>
        <w:numPr>
          <w:ilvl w:val="1"/>
          <w:numId w:val="5"/>
        </w:numPr>
        <w:rPr>
          <w:rFonts w:eastAsiaTheme="minorEastAsia"/>
        </w:rPr>
      </w:pPr>
      <w:r>
        <w:t>Description: Provides an overview of the United Nations’ Sustainable Development Goals (SDGs) and the role that business can play in achieving them.</w:t>
      </w:r>
    </w:p>
    <w:p w14:paraId="7DE5233E" w14:textId="77F02577" w:rsidR="00A6137D" w:rsidRDefault="74024AF3" w:rsidP="0C94938D">
      <w:pPr>
        <w:pStyle w:val="ListParagraph"/>
        <w:numPr>
          <w:ilvl w:val="1"/>
          <w:numId w:val="5"/>
        </w:numPr>
      </w:pPr>
      <w:r>
        <w:t>Time commitment: ~15 hours</w:t>
      </w:r>
    </w:p>
    <w:p w14:paraId="44228745" w14:textId="2476ED95" w:rsidR="00A6137D" w:rsidRDefault="74024AF3" w:rsidP="0C94938D">
      <w:pPr>
        <w:pStyle w:val="ListParagraph"/>
        <w:numPr>
          <w:ilvl w:val="1"/>
          <w:numId w:val="5"/>
        </w:numPr>
      </w:pPr>
      <w:r>
        <w:t>O</w:t>
      </w:r>
      <w:r w:rsidR="3DCDB3B3">
        <w:t>ffered by</w:t>
      </w:r>
      <w:r w:rsidR="2EC257C2">
        <w:t>:</w:t>
      </w:r>
      <w:r w:rsidR="3DCDB3B3">
        <w:t xml:space="preserve"> Erasmus </w:t>
      </w:r>
      <w:r w:rsidR="33D9DBD2">
        <w:t>University Rotterdam</w:t>
      </w:r>
    </w:p>
    <w:p w14:paraId="2647EA9D" w14:textId="4EBEBBB5" w:rsidR="004C737C" w:rsidRDefault="3A99A5B5" w:rsidP="0C94938D">
      <w:pPr>
        <w:pStyle w:val="ListParagraph"/>
        <w:numPr>
          <w:ilvl w:val="0"/>
          <w:numId w:val="5"/>
        </w:numPr>
      </w:pPr>
      <w:r w:rsidRPr="0C94938D">
        <w:rPr>
          <w:b/>
          <w:bCs/>
        </w:rPr>
        <w:t xml:space="preserve">EdX </w:t>
      </w:r>
      <w:r w:rsidR="3614BC19" w:rsidRPr="0C94938D">
        <w:rPr>
          <w:b/>
          <w:bCs/>
        </w:rPr>
        <w:t>(</w:t>
      </w:r>
      <w:r w:rsidR="3CC8D498" w:rsidRPr="0C94938D">
        <w:rPr>
          <w:b/>
          <w:bCs/>
        </w:rPr>
        <w:t xml:space="preserve">audit track is free) </w:t>
      </w:r>
      <w:r w:rsidR="5F6C3503" w:rsidRPr="0C94938D">
        <w:rPr>
          <w:b/>
          <w:bCs/>
        </w:rPr>
        <w:t xml:space="preserve">– </w:t>
      </w:r>
      <w:hyperlink r:id="rId11">
        <w:r w:rsidR="3CC8D498" w:rsidRPr="0C94938D">
          <w:rPr>
            <w:rStyle w:val="Hyperlink"/>
            <w:b/>
            <w:bCs/>
          </w:rPr>
          <w:t>Introduction to Corporate Sustainability, Social Innovation and Ethics</w:t>
        </w:r>
      </w:hyperlink>
      <w:r w:rsidR="419E102F" w:rsidRPr="0C94938D">
        <w:rPr>
          <w:b/>
          <w:bCs/>
        </w:rPr>
        <w:t xml:space="preserve"> </w:t>
      </w:r>
    </w:p>
    <w:p w14:paraId="59FCBEC9" w14:textId="12832CBC" w:rsidR="004C737C" w:rsidRDefault="49C6D6A4" w:rsidP="0C94938D">
      <w:pPr>
        <w:pStyle w:val="ListParagraph"/>
        <w:numPr>
          <w:ilvl w:val="1"/>
          <w:numId w:val="5"/>
        </w:numPr>
        <w:rPr>
          <w:rFonts w:eastAsiaTheme="minorEastAsia"/>
        </w:rPr>
      </w:pPr>
      <w:r>
        <w:t>Description: Explores sustainability through the lens of corporate sustainability, business ethics, and social innovation. Gives an overview of triple-bottom-line approaches and the business case for sustainability.</w:t>
      </w:r>
    </w:p>
    <w:p w14:paraId="123BF087" w14:textId="73347A73" w:rsidR="004C737C" w:rsidRDefault="49C6D6A4" w:rsidP="0C94938D">
      <w:pPr>
        <w:pStyle w:val="ListParagraph"/>
        <w:numPr>
          <w:ilvl w:val="1"/>
          <w:numId w:val="5"/>
        </w:numPr>
      </w:pPr>
      <w:r>
        <w:t>Time commitment: ~15 hours</w:t>
      </w:r>
    </w:p>
    <w:p w14:paraId="3E7EDCF1" w14:textId="4FFCC21A" w:rsidR="004C737C" w:rsidRDefault="49C6D6A4" w:rsidP="0C94938D">
      <w:pPr>
        <w:pStyle w:val="ListParagraph"/>
        <w:numPr>
          <w:ilvl w:val="1"/>
          <w:numId w:val="5"/>
        </w:numPr>
      </w:pPr>
      <w:r>
        <w:t>Offered by:</w:t>
      </w:r>
      <w:r w:rsidR="419E102F">
        <w:t xml:space="preserve"> Imperial College Business School </w:t>
      </w:r>
    </w:p>
    <w:p w14:paraId="6F5BA735" w14:textId="61AB44DB" w:rsidR="42796336" w:rsidRDefault="3614BC19" w:rsidP="0C94938D">
      <w:pPr>
        <w:pStyle w:val="ListParagraph"/>
        <w:numPr>
          <w:ilvl w:val="0"/>
          <w:numId w:val="5"/>
        </w:numPr>
      </w:pPr>
      <w:r w:rsidRPr="0C94938D">
        <w:rPr>
          <w:b/>
          <w:bCs/>
        </w:rPr>
        <w:t xml:space="preserve">EdX (audit track is free) – </w:t>
      </w:r>
      <w:hyperlink r:id="rId12">
        <w:r w:rsidR="615D9697" w:rsidRPr="0C94938D">
          <w:rPr>
            <w:rStyle w:val="Hyperlink"/>
            <w:b/>
            <w:bCs/>
          </w:rPr>
          <w:t>Sustainable Supply Chain Planning, Sourcing, and Procurement</w:t>
        </w:r>
      </w:hyperlink>
    </w:p>
    <w:p w14:paraId="23B077FD" w14:textId="6F73F4D5" w:rsidR="42796336" w:rsidRDefault="44D05792" w:rsidP="0C94938D">
      <w:pPr>
        <w:pStyle w:val="ListParagraph"/>
        <w:numPr>
          <w:ilvl w:val="1"/>
          <w:numId w:val="5"/>
        </w:numPr>
      </w:pPr>
      <w:r>
        <w:t xml:space="preserve">Description: </w:t>
      </w:r>
      <w:r w:rsidR="4B76C3BA">
        <w:t>Covers</w:t>
      </w:r>
      <w:r w:rsidR="615D9697">
        <w:t xml:space="preserve"> preparatory material for ISCEA’s Certified Sustainable Supply Chain Professional credential</w:t>
      </w:r>
      <w:r w:rsidR="77B7C8C0">
        <w:t xml:space="preserve"> (see Credentials section below).</w:t>
      </w:r>
      <w:r w:rsidR="6D78C236">
        <w:t xml:space="preserve"> Explores the business and material planning needed to create a sustainable supply chain.</w:t>
      </w:r>
    </w:p>
    <w:p w14:paraId="5F562C67" w14:textId="73F8160B" w:rsidR="6D78C236" w:rsidRDefault="6D78C236" w:rsidP="0C94938D">
      <w:pPr>
        <w:pStyle w:val="ListParagraph"/>
        <w:numPr>
          <w:ilvl w:val="1"/>
          <w:numId w:val="5"/>
        </w:numPr>
      </w:pPr>
      <w:r>
        <w:t>Time commitment: ~20 hours</w:t>
      </w:r>
    </w:p>
    <w:p w14:paraId="4E3A140A" w14:textId="7E2F845A" w:rsidR="6D78C236" w:rsidRDefault="6D78C236" w:rsidP="0C94938D">
      <w:pPr>
        <w:pStyle w:val="ListParagraph"/>
        <w:numPr>
          <w:ilvl w:val="1"/>
          <w:numId w:val="5"/>
        </w:numPr>
      </w:pPr>
      <w:r>
        <w:t>Offered by: International Supply Chain Education Alliance</w:t>
      </w:r>
      <w:r w:rsidR="07DCA031">
        <w:t xml:space="preserve"> (ISCEA)</w:t>
      </w:r>
    </w:p>
    <w:p w14:paraId="0BF650AD" w14:textId="5AA920B1" w:rsidR="00784F17" w:rsidRDefault="37EAA516" w:rsidP="0C94938D">
      <w:pPr>
        <w:pStyle w:val="ListParagraph"/>
        <w:numPr>
          <w:ilvl w:val="0"/>
          <w:numId w:val="5"/>
        </w:numPr>
        <w:spacing w:after="240"/>
      </w:pPr>
      <w:r w:rsidRPr="0C94938D">
        <w:rPr>
          <w:b/>
          <w:bCs/>
        </w:rPr>
        <w:t xml:space="preserve">Supply Chain Sustainability School </w:t>
      </w:r>
      <w:r w:rsidR="27CB254E" w:rsidRPr="0C94938D">
        <w:rPr>
          <w:b/>
          <w:bCs/>
        </w:rPr>
        <w:t xml:space="preserve">– </w:t>
      </w:r>
      <w:r w:rsidR="08863A6E" w:rsidRPr="0C94938D">
        <w:rPr>
          <w:b/>
          <w:bCs/>
        </w:rPr>
        <w:t xml:space="preserve">See </w:t>
      </w:r>
      <w:hyperlink r:id="rId13">
        <w:r w:rsidR="016A9003" w:rsidRPr="0C94938D">
          <w:rPr>
            <w:rStyle w:val="Hyperlink"/>
            <w:b/>
            <w:bCs/>
          </w:rPr>
          <w:t>catalog</w:t>
        </w:r>
      </w:hyperlink>
      <w:r w:rsidR="64937D0D" w:rsidRPr="0C94938D">
        <w:rPr>
          <w:b/>
          <w:bCs/>
        </w:rPr>
        <w:t xml:space="preserve"> and filter by topic of interest.</w:t>
      </w:r>
    </w:p>
    <w:p w14:paraId="66BC3D57" w14:textId="19C6D3F3" w:rsidR="04829DBD" w:rsidRDefault="04829DBD" w:rsidP="0C94938D">
      <w:pPr>
        <w:pStyle w:val="ListParagraph"/>
        <w:numPr>
          <w:ilvl w:val="1"/>
          <w:numId w:val="5"/>
        </w:numPr>
        <w:spacing w:after="240"/>
        <w:rPr>
          <w:rFonts w:eastAsiaTheme="minorEastAsia"/>
        </w:rPr>
      </w:pPr>
      <w:r>
        <w:t>Description: Supply chain courses covering a diverse range of topics.</w:t>
      </w:r>
    </w:p>
    <w:p w14:paraId="2743C191" w14:textId="2E7D72E6" w:rsidR="04829DBD" w:rsidRDefault="04829DBD" w:rsidP="0C94938D">
      <w:pPr>
        <w:pStyle w:val="ListParagraph"/>
        <w:numPr>
          <w:ilvl w:val="1"/>
          <w:numId w:val="5"/>
        </w:numPr>
        <w:spacing w:after="240"/>
      </w:pPr>
      <w:r>
        <w:t>Time commitment: Variable</w:t>
      </w:r>
    </w:p>
    <w:p w14:paraId="6CDF5898" w14:textId="0EB34DA7" w:rsidR="04829DBD" w:rsidRDefault="04829DBD" w:rsidP="0C94938D">
      <w:pPr>
        <w:pStyle w:val="ListParagraph"/>
        <w:numPr>
          <w:ilvl w:val="1"/>
          <w:numId w:val="5"/>
        </w:numPr>
        <w:spacing w:after="240"/>
      </w:pPr>
      <w:r>
        <w:t>Offered by: Supply Chain Sustainability School</w:t>
      </w:r>
    </w:p>
    <w:p w14:paraId="59726895" w14:textId="77777777" w:rsidR="00FF0F42" w:rsidRDefault="00FF0F42">
      <w:pPr>
        <w:rPr>
          <w:b/>
          <w:bCs/>
        </w:rPr>
      </w:pPr>
    </w:p>
    <w:p w14:paraId="1E462203" w14:textId="77777777" w:rsidR="00FF0F42" w:rsidRPr="003479CD" w:rsidRDefault="00FF0F42" w:rsidP="00FF0F42">
      <w:pPr>
        <w:rPr>
          <w:b/>
          <w:bCs/>
        </w:rPr>
      </w:pPr>
      <w:r w:rsidRPr="003479CD">
        <w:rPr>
          <w:b/>
          <w:bCs/>
        </w:rPr>
        <w:t>Reports and articles</w:t>
      </w:r>
    </w:p>
    <w:p w14:paraId="03938032" w14:textId="77777777" w:rsidR="00FF0F42" w:rsidRDefault="00FF0F42" w:rsidP="00FF0F42">
      <w:pPr>
        <w:pStyle w:val="ListParagraph"/>
        <w:numPr>
          <w:ilvl w:val="0"/>
          <w:numId w:val="4"/>
        </w:numPr>
      </w:pPr>
      <w:r w:rsidRPr="0C94938D">
        <w:rPr>
          <w:b/>
          <w:bCs/>
        </w:rPr>
        <w:t xml:space="preserve">CDP – </w:t>
      </w:r>
      <w:hyperlink r:id="rId14">
        <w:r w:rsidRPr="0C94938D">
          <w:rPr>
            <w:rStyle w:val="Hyperlink"/>
            <w:b/>
            <w:bCs/>
          </w:rPr>
          <w:t>Engaging the Chain: Driving Speed and Scale. CDP Global Supply Chain Report 2021</w:t>
        </w:r>
      </w:hyperlink>
    </w:p>
    <w:p w14:paraId="4CA9ACFE" w14:textId="77777777" w:rsidR="00FF0F42" w:rsidRDefault="00FF0F42" w:rsidP="00FF0F42">
      <w:pPr>
        <w:pStyle w:val="ListParagraph"/>
        <w:numPr>
          <w:ilvl w:val="1"/>
          <w:numId w:val="4"/>
        </w:numPr>
      </w:pPr>
      <w:r>
        <w:t>Description: Report analyzing 2021 CDP Supply Chain program data. Provides insights on science-based targets, zero-deforestation initiatives, and water security targets.</w:t>
      </w:r>
    </w:p>
    <w:p w14:paraId="245E7A45" w14:textId="77777777" w:rsidR="00FF0F42" w:rsidRDefault="00FF0F42" w:rsidP="00FF0F42">
      <w:pPr>
        <w:pStyle w:val="ListParagraph"/>
        <w:numPr>
          <w:ilvl w:val="0"/>
          <w:numId w:val="4"/>
        </w:numPr>
      </w:pPr>
      <w:r w:rsidRPr="0C94938D">
        <w:rPr>
          <w:b/>
          <w:bCs/>
        </w:rPr>
        <w:t>McKinsey –</w:t>
      </w:r>
      <w:hyperlink r:id="rId15">
        <w:r w:rsidRPr="0C94938D">
          <w:rPr>
            <w:rStyle w:val="Hyperlink"/>
            <w:b/>
            <w:bCs/>
          </w:rPr>
          <w:t xml:space="preserve"> Could climate become the weak link in your supply chain?</w:t>
        </w:r>
      </w:hyperlink>
    </w:p>
    <w:p w14:paraId="5785756B" w14:textId="77777777" w:rsidR="00FF0F42" w:rsidRDefault="00FF0F42" w:rsidP="00FF0F42">
      <w:pPr>
        <w:pStyle w:val="ListParagraph"/>
        <w:numPr>
          <w:ilvl w:val="1"/>
          <w:numId w:val="4"/>
        </w:numPr>
      </w:pPr>
      <w:r>
        <w:t>Description: Case study exploring how climate risks are likely to evolve over the next few decades by looking at specialty, intermediate, and commodity supply chains.</w:t>
      </w:r>
    </w:p>
    <w:p w14:paraId="35F6673C" w14:textId="77777777" w:rsidR="00FF0F42" w:rsidRDefault="00FF0F42" w:rsidP="00FF0F42">
      <w:pPr>
        <w:pStyle w:val="ListParagraph"/>
        <w:numPr>
          <w:ilvl w:val="0"/>
          <w:numId w:val="4"/>
        </w:numPr>
        <w:spacing w:after="240"/>
      </w:pPr>
      <w:r w:rsidRPr="0C94938D">
        <w:rPr>
          <w:b/>
          <w:bCs/>
        </w:rPr>
        <w:t xml:space="preserve">Harvard Business Review – </w:t>
      </w:r>
      <w:hyperlink r:id="rId16">
        <w:r w:rsidRPr="0C94938D">
          <w:rPr>
            <w:rStyle w:val="Hyperlink"/>
            <w:b/>
            <w:bCs/>
          </w:rPr>
          <w:t>How Exposed Is Your Supply Chain to Climate Risks?</w:t>
        </w:r>
      </w:hyperlink>
    </w:p>
    <w:p w14:paraId="176BA478" w14:textId="3D56FB66" w:rsidR="001B72EA" w:rsidRDefault="00FF0F42" w:rsidP="00FF0F42">
      <w:pPr>
        <w:pStyle w:val="ListParagraph"/>
        <w:numPr>
          <w:ilvl w:val="1"/>
          <w:numId w:val="4"/>
        </w:numPr>
        <w:spacing w:after="240"/>
      </w:pPr>
      <w:r>
        <w:t>Description: Article describing an assessment of climate-related risks on 12,000 supplier sites in the US and China serving 100 original equipment manufacturers in the high tech, auto, and consumer goods industries. Offers advice on improving resiliency to climate-related disruptions.</w:t>
      </w:r>
    </w:p>
    <w:p w14:paraId="32BD7DFE" w14:textId="0074AF09" w:rsidR="006979EC" w:rsidRPr="00FF0F42" w:rsidRDefault="006979EC" w:rsidP="001B72EA">
      <w:pPr>
        <w:spacing w:after="240"/>
      </w:pPr>
      <w:r w:rsidRPr="001B72EA">
        <w:rPr>
          <w:b/>
          <w:bCs/>
        </w:rPr>
        <w:br w:type="page"/>
      </w:r>
    </w:p>
    <w:p w14:paraId="18909F43" w14:textId="381C5A35" w:rsidR="3B9E8635" w:rsidRPr="00464EBF" w:rsidRDefault="3B9E8635" w:rsidP="42796336">
      <w:pPr>
        <w:rPr>
          <w:b/>
          <w:bCs/>
        </w:rPr>
      </w:pPr>
      <w:r w:rsidRPr="00464EBF">
        <w:rPr>
          <w:b/>
          <w:bCs/>
        </w:rPr>
        <w:lastRenderedPageBreak/>
        <w:t>Courses with fees and/or limited access</w:t>
      </w:r>
    </w:p>
    <w:p w14:paraId="0C277EB0" w14:textId="373B153B" w:rsidR="00534DFE" w:rsidRDefault="69641D67" w:rsidP="0C94938D">
      <w:pPr>
        <w:pStyle w:val="ListParagraph"/>
        <w:numPr>
          <w:ilvl w:val="0"/>
          <w:numId w:val="7"/>
        </w:numPr>
        <w:rPr>
          <w:rFonts w:eastAsiaTheme="minorEastAsia"/>
        </w:rPr>
      </w:pPr>
      <w:proofErr w:type="spellStart"/>
      <w:r w:rsidRPr="0C94938D">
        <w:rPr>
          <w:b/>
          <w:bCs/>
        </w:rPr>
        <w:t>EcoVadis</w:t>
      </w:r>
      <w:proofErr w:type="spellEnd"/>
      <w:r w:rsidR="38F6380E" w:rsidRPr="0C94938D">
        <w:rPr>
          <w:b/>
          <w:bCs/>
        </w:rPr>
        <w:t xml:space="preserve"> – </w:t>
      </w:r>
      <w:hyperlink r:id="rId17">
        <w:proofErr w:type="spellStart"/>
        <w:r w:rsidR="38F6380E" w:rsidRPr="0C94938D">
          <w:rPr>
            <w:rStyle w:val="Hyperlink"/>
            <w:b/>
            <w:bCs/>
          </w:rPr>
          <w:t>EcoVadis</w:t>
        </w:r>
        <w:proofErr w:type="spellEnd"/>
        <w:r w:rsidR="38F6380E" w:rsidRPr="0C94938D">
          <w:rPr>
            <w:rStyle w:val="Hyperlink"/>
            <w:b/>
            <w:bCs/>
          </w:rPr>
          <w:t xml:space="preserve"> E-Learning platform</w:t>
        </w:r>
      </w:hyperlink>
    </w:p>
    <w:p w14:paraId="7EC6794A" w14:textId="21FEFE45" w:rsidR="00534DFE" w:rsidRDefault="38F6380E" w:rsidP="0C94938D">
      <w:pPr>
        <w:pStyle w:val="ListParagraph"/>
        <w:numPr>
          <w:ilvl w:val="1"/>
          <w:numId w:val="7"/>
        </w:numPr>
      </w:pPr>
      <w:r>
        <w:t>Description:</w:t>
      </w:r>
      <w:r w:rsidR="69641D67">
        <w:t xml:space="preserve"> Three</w:t>
      </w:r>
      <w:r w:rsidR="25610616">
        <w:t xml:space="preserve"> procurement</w:t>
      </w:r>
      <w:r w:rsidR="69641D67">
        <w:t xml:space="preserve"> courses are available</w:t>
      </w:r>
      <w:r w:rsidR="0C4290DC">
        <w:t xml:space="preserve"> through the </w:t>
      </w:r>
      <w:hyperlink r:id="rId18">
        <w:proofErr w:type="spellStart"/>
        <w:r w:rsidR="0C4290DC" w:rsidRPr="0C94938D">
          <w:rPr>
            <w:rStyle w:val="Hyperlink"/>
          </w:rPr>
          <w:t>EcoVadis</w:t>
        </w:r>
        <w:proofErr w:type="spellEnd"/>
        <w:r w:rsidR="0C4290DC" w:rsidRPr="0C94938D">
          <w:rPr>
            <w:rStyle w:val="Hyperlink"/>
          </w:rPr>
          <w:t xml:space="preserve"> </w:t>
        </w:r>
        <w:r w:rsidR="5FB1E0ED" w:rsidRPr="0C94938D">
          <w:rPr>
            <w:rStyle w:val="Hyperlink"/>
          </w:rPr>
          <w:t>E-Learning platform</w:t>
        </w:r>
      </w:hyperlink>
      <w:r w:rsidR="5FB1E0ED">
        <w:t xml:space="preserve">, but the link will only work </w:t>
      </w:r>
      <w:r w:rsidR="42D32295">
        <w:t xml:space="preserve">for those with an </w:t>
      </w:r>
      <w:proofErr w:type="spellStart"/>
      <w:r w:rsidR="42D32295">
        <w:t>EcoVadis</w:t>
      </w:r>
      <w:proofErr w:type="spellEnd"/>
      <w:r w:rsidR="42D32295">
        <w:t xml:space="preserve"> subscription</w:t>
      </w:r>
      <w:r w:rsidR="69641D67">
        <w:t xml:space="preserve">. </w:t>
      </w:r>
    </w:p>
    <w:p w14:paraId="2A38C25A" w14:textId="1C84A42B" w:rsidR="42796336" w:rsidRDefault="09B8DDA7" w:rsidP="0C94938D">
      <w:pPr>
        <w:pStyle w:val="ListParagraph"/>
        <w:numPr>
          <w:ilvl w:val="2"/>
          <w:numId w:val="7"/>
        </w:numPr>
      </w:pPr>
      <w:r>
        <w:t xml:space="preserve">Sustainable Procurement Policy </w:t>
      </w:r>
      <w:r w:rsidR="2AC9C4B4">
        <w:t>(all subscription levels)</w:t>
      </w:r>
    </w:p>
    <w:p w14:paraId="6BC3A232" w14:textId="7488CDF4" w:rsidR="0871A87E" w:rsidRDefault="0871A87E" w:rsidP="0C94938D">
      <w:pPr>
        <w:pStyle w:val="ListParagraph"/>
        <w:numPr>
          <w:ilvl w:val="3"/>
          <w:numId w:val="7"/>
        </w:numPr>
      </w:pPr>
      <w:r>
        <w:t>Description: Explanation of how to develop a sustainable procurement policy</w:t>
      </w:r>
      <w:r w:rsidR="74830EC4">
        <w:t>.</w:t>
      </w:r>
    </w:p>
    <w:p w14:paraId="713FA023" w14:textId="05ECAB50" w:rsidR="0871A87E" w:rsidRDefault="0871A87E" w:rsidP="0C94938D">
      <w:pPr>
        <w:pStyle w:val="ListParagraph"/>
        <w:numPr>
          <w:ilvl w:val="3"/>
          <w:numId w:val="7"/>
        </w:numPr>
      </w:pPr>
      <w:r>
        <w:t>Time commitment: 35 minutes</w:t>
      </w:r>
    </w:p>
    <w:p w14:paraId="672A312D" w14:textId="643DC461" w:rsidR="000D1C27" w:rsidRDefault="2AC9C4B4" w:rsidP="0C94938D">
      <w:pPr>
        <w:pStyle w:val="ListParagraph"/>
        <w:numPr>
          <w:ilvl w:val="2"/>
          <w:numId w:val="7"/>
        </w:numPr>
      </w:pPr>
      <w:r>
        <w:t>Sustainable Procurement Reporting</w:t>
      </w:r>
      <w:r w:rsidR="5D9F54E3">
        <w:t xml:space="preserve"> (only Premium, Select, and </w:t>
      </w:r>
      <w:proofErr w:type="gramStart"/>
      <w:r w:rsidR="5D9F54E3">
        <w:t>Corporate</w:t>
      </w:r>
      <w:proofErr w:type="gramEnd"/>
      <w:r w:rsidR="5D9F54E3">
        <w:t xml:space="preserve"> subscription levels)</w:t>
      </w:r>
    </w:p>
    <w:p w14:paraId="0D86753F" w14:textId="147A0136" w:rsidR="4D7D2413" w:rsidRDefault="4D7D2413" w:rsidP="0C94938D">
      <w:pPr>
        <w:pStyle w:val="ListParagraph"/>
        <w:numPr>
          <w:ilvl w:val="3"/>
          <w:numId w:val="7"/>
        </w:numPr>
      </w:pPr>
      <w:r>
        <w:t>Description: Explanation of the structure, core topics, and metrics for sustainable procurement reporti</w:t>
      </w:r>
      <w:r w:rsidR="7FD90E9E">
        <w:t>ng</w:t>
      </w:r>
      <w:r w:rsidR="6976EA15">
        <w:t>.</w:t>
      </w:r>
    </w:p>
    <w:p w14:paraId="2FBE05F8" w14:textId="2031FDCA" w:rsidR="7FD90E9E" w:rsidRDefault="7FD90E9E" w:rsidP="0C94938D">
      <w:pPr>
        <w:pStyle w:val="ListParagraph"/>
        <w:numPr>
          <w:ilvl w:val="3"/>
          <w:numId w:val="7"/>
        </w:numPr>
        <w:rPr>
          <w:rFonts w:eastAsiaTheme="minorEastAsia"/>
        </w:rPr>
      </w:pPr>
      <w:r>
        <w:t>Time commitment: 35 minutes</w:t>
      </w:r>
    </w:p>
    <w:p w14:paraId="3FB6FADF" w14:textId="029B720B" w:rsidR="00CA326F" w:rsidRDefault="2AC9C4B4" w:rsidP="0C94938D">
      <w:pPr>
        <w:pStyle w:val="ListParagraph"/>
        <w:numPr>
          <w:ilvl w:val="2"/>
          <w:numId w:val="7"/>
        </w:numPr>
        <w:spacing w:after="240"/>
      </w:pPr>
      <w:r>
        <w:t xml:space="preserve">Supplier Code of Conduct &amp; Contract Clauses (only </w:t>
      </w:r>
      <w:r w:rsidR="5D9F54E3">
        <w:t xml:space="preserve">Premium, Select, and </w:t>
      </w:r>
      <w:proofErr w:type="gramStart"/>
      <w:r w:rsidR="5D9F54E3">
        <w:t>Corporate</w:t>
      </w:r>
      <w:proofErr w:type="gramEnd"/>
      <w:r w:rsidR="5D9F54E3">
        <w:t xml:space="preserve"> </w:t>
      </w:r>
      <w:r>
        <w:t>subscription levels)</w:t>
      </w:r>
    </w:p>
    <w:p w14:paraId="4F36B324" w14:textId="4ACD8806" w:rsidR="12889FA9" w:rsidRDefault="12889FA9" w:rsidP="0C94938D">
      <w:pPr>
        <w:pStyle w:val="ListParagraph"/>
        <w:numPr>
          <w:ilvl w:val="3"/>
          <w:numId w:val="7"/>
        </w:numPr>
        <w:spacing w:after="240"/>
      </w:pPr>
      <w:r>
        <w:t>Description: Explanation of the importance of a supplier code of conduct and how to develop one. Descr</w:t>
      </w:r>
      <w:r w:rsidR="3C44BFF7">
        <w:t>ibes development of sustainability contract clauses and how to monitor and enforce a supplier code of conduct.</w:t>
      </w:r>
    </w:p>
    <w:p w14:paraId="39E4FBFD" w14:textId="31C7DE3A" w:rsidR="12889FA9" w:rsidRPr="009566DE" w:rsidRDefault="12889FA9" w:rsidP="0C94938D">
      <w:pPr>
        <w:pStyle w:val="ListParagraph"/>
        <w:numPr>
          <w:ilvl w:val="3"/>
          <w:numId w:val="7"/>
        </w:numPr>
        <w:spacing w:after="240"/>
        <w:rPr>
          <w:rFonts w:eastAsiaTheme="minorEastAsia"/>
        </w:rPr>
      </w:pPr>
      <w:r>
        <w:t>Time commitment: 40 minutes</w:t>
      </w:r>
    </w:p>
    <w:p w14:paraId="5283C90B" w14:textId="26D025A0" w:rsidR="44BF53A0" w:rsidRDefault="44D9A703" w:rsidP="0C94938D">
      <w:pPr>
        <w:pStyle w:val="ListParagraph"/>
        <w:numPr>
          <w:ilvl w:val="0"/>
          <w:numId w:val="7"/>
        </w:numPr>
        <w:spacing w:after="240"/>
        <w:rPr>
          <w:rFonts w:eastAsiaTheme="minorEastAsia"/>
        </w:rPr>
      </w:pPr>
      <w:r w:rsidRPr="0C94938D">
        <w:rPr>
          <w:b/>
          <w:bCs/>
        </w:rPr>
        <w:t xml:space="preserve">Sustainable Purchasing Leadership Council </w:t>
      </w:r>
      <w:proofErr w:type="gramStart"/>
      <w:r w:rsidRPr="0C94938D">
        <w:rPr>
          <w:b/>
          <w:bCs/>
        </w:rPr>
        <w:t xml:space="preserve">– </w:t>
      </w:r>
      <w:r w:rsidR="4E6C6C0C" w:rsidRPr="0C94938D">
        <w:rPr>
          <w:b/>
          <w:bCs/>
        </w:rPr>
        <w:t xml:space="preserve"> Members</w:t>
      </w:r>
      <w:proofErr w:type="gramEnd"/>
      <w:r w:rsidR="4E6C6C0C" w:rsidRPr="0C94938D">
        <w:rPr>
          <w:b/>
          <w:bCs/>
        </w:rPr>
        <w:t xml:space="preserve">-only organization – login at the </w:t>
      </w:r>
      <w:hyperlink r:id="rId19">
        <w:r w:rsidR="4E6C6C0C" w:rsidRPr="0C94938D">
          <w:rPr>
            <w:rStyle w:val="Hyperlink"/>
            <w:b/>
            <w:bCs/>
          </w:rPr>
          <w:t>SLPC website</w:t>
        </w:r>
      </w:hyperlink>
    </w:p>
    <w:p w14:paraId="2BF85E2C" w14:textId="7A754A58" w:rsidR="44BF53A0" w:rsidRDefault="4E6C6C0C" w:rsidP="0C94938D">
      <w:pPr>
        <w:pStyle w:val="ListParagraph"/>
        <w:numPr>
          <w:ilvl w:val="1"/>
          <w:numId w:val="7"/>
        </w:numPr>
        <w:spacing w:after="240"/>
      </w:pPr>
      <w:r>
        <w:t xml:space="preserve">Description: </w:t>
      </w:r>
      <w:r w:rsidR="44D9A703">
        <w:t xml:space="preserve">Multiple </w:t>
      </w:r>
      <w:r w:rsidR="78FAFCC6">
        <w:t xml:space="preserve">webinars, workshops, and micro-learning courses </w:t>
      </w:r>
      <w:r w:rsidR="44D9A703">
        <w:t>are available for SPLC members.</w:t>
      </w:r>
      <w:r w:rsidR="777B177F">
        <w:t xml:space="preserve"> </w:t>
      </w:r>
      <w:r w:rsidR="08898014">
        <w:t>E</w:t>
      </w:r>
      <w:r w:rsidR="3CBE0EE8">
        <w:t>ducational topics covered include</w:t>
      </w:r>
      <w:r w:rsidR="71587028">
        <w:t xml:space="preserve"> </w:t>
      </w:r>
      <w:r w:rsidR="5A68EBBC">
        <w:t>supplier diversity</w:t>
      </w:r>
      <w:r w:rsidR="68B3630F">
        <w:t xml:space="preserve">, introduction to sustainable purchasing, </w:t>
      </w:r>
      <w:r w:rsidR="3BBCDB02">
        <w:t xml:space="preserve">renewable energy procurement, </w:t>
      </w:r>
      <w:r w:rsidR="59B432CC">
        <w:t>etc</w:t>
      </w:r>
      <w:r w:rsidR="3BBCDB02">
        <w:t>.</w:t>
      </w:r>
    </w:p>
    <w:p w14:paraId="1969F911" w14:textId="77777777" w:rsidR="00AD264A" w:rsidRPr="003479CD" w:rsidRDefault="00AD264A" w:rsidP="00AD264A">
      <w:pPr>
        <w:rPr>
          <w:b/>
          <w:bCs/>
        </w:rPr>
      </w:pPr>
      <w:r w:rsidRPr="003479CD">
        <w:rPr>
          <w:b/>
          <w:bCs/>
        </w:rPr>
        <w:t>Events</w:t>
      </w:r>
    </w:p>
    <w:p w14:paraId="1184C6DD" w14:textId="77777777" w:rsidR="00AD264A" w:rsidRDefault="00AD264A" w:rsidP="00AD264A">
      <w:pPr>
        <w:pStyle w:val="ListParagraph"/>
        <w:numPr>
          <w:ilvl w:val="0"/>
          <w:numId w:val="3"/>
        </w:numPr>
        <w:spacing w:after="240"/>
      </w:pPr>
      <w:r w:rsidRPr="0C94938D">
        <w:rPr>
          <w:b/>
          <w:bCs/>
        </w:rPr>
        <w:t xml:space="preserve">CDP – </w:t>
      </w:r>
      <w:hyperlink r:id="rId20">
        <w:r w:rsidRPr="0C94938D">
          <w:rPr>
            <w:rStyle w:val="Hyperlink"/>
            <w:b/>
            <w:bCs/>
          </w:rPr>
          <w:t>2022 CDP Supply Chain Summit</w:t>
        </w:r>
      </w:hyperlink>
      <w:r w:rsidRPr="0C94938D">
        <w:rPr>
          <w:b/>
          <w:bCs/>
        </w:rPr>
        <w:t>: Oct. 24-25; San Jose, CA</w:t>
      </w:r>
    </w:p>
    <w:p w14:paraId="2DCDBCEA" w14:textId="77777777" w:rsidR="00AD264A" w:rsidRDefault="00AD264A" w:rsidP="00AD264A">
      <w:pPr>
        <w:pStyle w:val="ListParagraph"/>
        <w:numPr>
          <w:ilvl w:val="1"/>
          <w:numId w:val="3"/>
        </w:numPr>
        <w:spacing w:after="240"/>
      </w:pPr>
      <w:r>
        <w:t>Description: Gathering of CDP Supply Chain members to discuss leading practices in environmental supply chain sustainability. Topics include Scope 3 emissions, supplier capacity building, and supply chain issues such as biodiversity, deforestation, and water-security.</w:t>
      </w:r>
    </w:p>
    <w:p w14:paraId="48D5326D" w14:textId="77777777" w:rsidR="00AD264A" w:rsidRDefault="00AD264A" w:rsidP="00AD264A">
      <w:pPr>
        <w:pStyle w:val="ListParagraph"/>
        <w:numPr>
          <w:ilvl w:val="0"/>
          <w:numId w:val="3"/>
        </w:numPr>
      </w:pPr>
      <w:r w:rsidRPr="0C94938D">
        <w:rPr>
          <w:b/>
          <w:bCs/>
        </w:rPr>
        <w:t xml:space="preserve">Reuters – </w:t>
      </w:r>
      <w:hyperlink r:id="rId21">
        <w:r w:rsidRPr="0C94938D">
          <w:rPr>
            <w:rStyle w:val="Hyperlink"/>
            <w:b/>
            <w:bCs/>
          </w:rPr>
          <w:t>Transform Supply Chains USA 2022</w:t>
        </w:r>
      </w:hyperlink>
      <w:r w:rsidRPr="0C94938D">
        <w:rPr>
          <w:b/>
          <w:bCs/>
        </w:rPr>
        <w:t>: Nov. 1-2; Chicago, IL</w:t>
      </w:r>
    </w:p>
    <w:p w14:paraId="35FC5C23" w14:textId="140B73B8" w:rsidR="00AD264A" w:rsidRPr="001B72EA" w:rsidRDefault="00AD264A" w:rsidP="00AD264A">
      <w:pPr>
        <w:pStyle w:val="ListParagraph"/>
        <w:numPr>
          <w:ilvl w:val="1"/>
          <w:numId w:val="3"/>
        </w:numPr>
        <w:rPr>
          <w:rFonts w:eastAsiaTheme="minorEastAsia"/>
        </w:rPr>
      </w:pPr>
      <w:r>
        <w:t>Description: Gathering of senior sustainability and supply chain executives to establish robust digital infrastructure, maximize supplier collaboration, and successfully scale new innovations and investments for decarbonization.</w:t>
      </w:r>
    </w:p>
    <w:p w14:paraId="343055C3" w14:textId="77777777" w:rsidR="003F211B" w:rsidRDefault="003F211B" w:rsidP="00AD264A">
      <w:pPr>
        <w:rPr>
          <w:b/>
          <w:bCs/>
        </w:rPr>
      </w:pPr>
    </w:p>
    <w:p w14:paraId="3B47C146" w14:textId="3E17DAC4" w:rsidR="00AD264A" w:rsidRDefault="006979EC" w:rsidP="00AD264A">
      <w:pPr>
        <w:rPr>
          <w:rFonts w:eastAsiaTheme="minorEastAsia"/>
        </w:rPr>
      </w:pPr>
      <w:r>
        <w:rPr>
          <w:b/>
          <w:bCs/>
        </w:rPr>
        <w:br w:type="page"/>
      </w:r>
    </w:p>
    <w:p w14:paraId="3D700A80" w14:textId="77777777" w:rsidR="00AD264A" w:rsidRPr="00464EBF" w:rsidRDefault="00AD264A" w:rsidP="00AD264A">
      <w:pPr>
        <w:rPr>
          <w:b/>
          <w:bCs/>
        </w:rPr>
      </w:pPr>
      <w:r w:rsidRPr="00464EBF">
        <w:rPr>
          <w:b/>
          <w:bCs/>
        </w:rPr>
        <w:lastRenderedPageBreak/>
        <w:t>Credentials</w:t>
      </w:r>
    </w:p>
    <w:p w14:paraId="0E4F9BF5" w14:textId="77777777" w:rsidR="00AD264A" w:rsidRDefault="00AD264A" w:rsidP="00AD264A">
      <w:pPr>
        <w:pStyle w:val="ListParagraph"/>
        <w:numPr>
          <w:ilvl w:val="0"/>
          <w:numId w:val="6"/>
        </w:numPr>
        <w:spacing w:after="240"/>
      </w:pPr>
      <w:r w:rsidRPr="0C94938D">
        <w:rPr>
          <w:b/>
          <w:bCs/>
        </w:rPr>
        <w:t xml:space="preserve">International Supply Chain Education Alliance (ISCEA) – </w:t>
      </w:r>
      <w:hyperlink r:id="rId22">
        <w:r w:rsidRPr="0C94938D">
          <w:rPr>
            <w:rStyle w:val="Hyperlink"/>
            <w:b/>
            <w:bCs/>
          </w:rPr>
          <w:t>Certified Sustainable Supply Chain Professional (CSSCP)</w:t>
        </w:r>
      </w:hyperlink>
    </w:p>
    <w:p w14:paraId="1F1EB61C" w14:textId="77777777" w:rsidR="00AD264A" w:rsidRDefault="00AD264A" w:rsidP="00AD264A">
      <w:pPr>
        <w:pStyle w:val="ListParagraph"/>
        <w:numPr>
          <w:ilvl w:val="1"/>
          <w:numId w:val="6"/>
        </w:numPr>
        <w:spacing w:after="240"/>
      </w:pPr>
      <w:r>
        <w:t>Description: Comprehensive educational program that integrates sustainability into supply chain principles. Topics covered: sustainable supply chains and circularity; sustainable supply chain planning, sourcing, and procurement; and sustainable supply chain operations and technology.</w:t>
      </w:r>
    </w:p>
    <w:p w14:paraId="5A6359B8" w14:textId="77777777" w:rsidR="006979EC" w:rsidRDefault="006979EC" w:rsidP="00F66969">
      <w:pPr>
        <w:rPr>
          <w:b/>
          <w:bCs/>
        </w:rPr>
      </w:pPr>
    </w:p>
    <w:p w14:paraId="69FB64AF" w14:textId="15667298" w:rsidR="00F66969" w:rsidRPr="003479CD" w:rsidRDefault="00F66969" w:rsidP="00F66969">
      <w:pPr>
        <w:rPr>
          <w:b/>
          <w:bCs/>
        </w:rPr>
      </w:pPr>
      <w:r w:rsidRPr="003479CD">
        <w:rPr>
          <w:b/>
          <w:bCs/>
        </w:rPr>
        <w:t>Othe</w:t>
      </w:r>
      <w:r w:rsidR="003F211B">
        <w:rPr>
          <w:b/>
          <w:bCs/>
        </w:rPr>
        <w:t>r Resources</w:t>
      </w:r>
    </w:p>
    <w:p w14:paraId="59E51B61" w14:textId="2D3D7876" w:rsidR="0084775A" w:rsidRDefault="7B768DFB" w:rsidP="0C94938D">
      <w:pPr>
        <w:pStyle w:val="ListParagraph"/>
        <w:numPr>
          <w:ilvl w:val="0"/>
          <w:numId w:val="4"/>
        </w:numPr>
      </w:pPr>
      <w:r w:rsidRPr="0C94938D">
        <w:rPr>
          <w:b/>
          <w:bCs/>
        </w:rPr>
        <w:t xml:space="preserve">Moody’s Analytic – </w:t>
      </w:r>
      <w:hyperlink r:id="rId23">
        <w:r w:rsidRPr="0C94938D">
          <w:rPr>
            <w:rStyle w:val="Hyperlink"/>
            <w:b/>
            <w:bCs/>
          </w:rPr>
          <w:t>Supply Chain in Focus</w:t>
        </w:r>
      </w:hyperlink>
    </w:p>
    <w:p w14:paraId="1FC6DFE7" w14:textId="0023D776" w:rsidR="161A16C7" w:rsidRDefault="161A16C7" w:rsidP="0C94938D">
      <w:pPr>
        <w:pStyle w:val="ListParagraph"/>
        <w:numPr>
          <w:ilvl w:val="1"/>
          <w:numId w:val="4"/>
        </w:numPr>
      </w:pPr>
      <w:r>
        <w:t>Description: Events and resources related to supply chain risk.</w:t>
      </w:r>
    </w:p>
    <w:p w14:paraId="7A82D25D" w14:textId="79C37179" w:rsidR="00F66969" w:rsidRDefault="3D4EAA8E" w:rsidP="0C94938D">
      <w:pPr>
        <w:pStyle w:val="ListParagraph"/>
        <w:numPr>
          <w:ilvl w:val="0"/>
          <w:numId w:val="4"/>
        </w:numPr>
      </w:pPr>
      <w:r w:rsidRPr="0C94938D">
        <w:rPr>
          <w:b/>
          <w:bCs/>
        </w:rPr>
        <w:t xml:space="preserve">MBA Central – </w:t>
      </w:r>
      <w:hyperlink r:id="rId24">
        <w:r w:rsidRPr="0C94938D">
          <w:rPr>
            <w:rStyle w:val="Hyperlink"/>
            <w:b/>
            <w:bCs/>
          </w:rPr>
          <w:t>The 15 Best Free Online Sustainability Courses</w:t>
        </w:r>
      </w:hyperlink>
    </w:p>
    <w:p w14:paraId="270AE574" w14:textId="3B9D5DAC" w:rsidR="7FFD4FB8" w:rsidRDefault="7FFD4FB8" w:rsidP="0C94938D">
      <w:pPr>
        <w:pStyle w:val="ListParagraph"/>
        <w:numPr>
          <w:ilvl w:val="1"/>
          <w:numId w:val="4"/>
        </w:numPr>
      </w:pPr>
      <w:r>
        <w:t>Description: List of free online sustainability courses from</w:t>
      </w:r>
      <w:r w:rsidR="2C06FDEB">
        <w:t xml:space="preserve"> US universities.</w:t>
      </w:r>
    </w:p>
    <w:p w14:paraId="5F5791A6" w14:textId="77777777" w:rsidR="00F66969" w:rsidRDefault="00F66969" w:rsidP="00F66969"/>
    <w:sectPr w:rsidR="00F66969" w:rsidSect="001731E2">
      <w:headerReference w:type="default" r:id="rId25"/>
      <w:footerReference w:type="default" r:id="rId26"/>
      <w:pgSz w:w="12240" w:h="15840" w:code="1"/>
      <w:pgMar w:top="1872" w:right="1440" w:bottom="187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1E6B" w14:textId="77777777" w:rsidR="00123F2B" w:rsidRDefault="00123F2B">
      <w:pPr>
        <w:spacing w:after="0" w:line="240" w:lineRule="auto"/>
      </w:pPr>
      <w:r>
        <w:separator/>
      </w:r>
    </w:p>
  </w:endnote>
  <w:endnote w:type="continuationSeparator" w:id="0">
    <w:p w14:paraId="63EA3F37" w14:textId="77777777" w:rsidR="00123F2B" w:rsidRDefault="00123F2B">
      <w:pPr>
        <w:spacing w:after="0" w:line="240" w:lineRule="auto"/>
      </w:pPr>
      <w:r>
        <w:continuationSeparator/>
      </w:r>
    </w:p>
  </w:endnote>
  <w:endnote w:type="continuationNotice" w:id="1">
    <w:p w14:paraId="78354CE2" w14:textId="77777777" w:rsidR="00123F2B" w:rsidRDefault="00123F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2796336" w14:paraId="4A8C5CD4" w14:textId="77777777" w:rsidTr="42796336">
      <w:tc>
        <w:tcPr>
          <w:tcW w:w="3120" w:type="dxa"/>
        </w:tcPr>
        <w:p w14:paraId="153F24BA" w14:textId="61EAFB7C" w:rsidR="42796336" w:rsidRDefault="42796336" w:rsidP="42796336">
          <w:pPr>
            <w:pStyle w:val="Header"/>
            <w:ind w:left="-115"/>
          </w:pPr>
        </w:p>
      </w:tc>
      <w:tc>
        <w:tcPr>
          <w:tcW w:w="3120" w:type="dxa"/>
        </w:tcPr>
        <w:p w14:paraId="07D1DC80" w14:textId="75486356" w:rsidR="42796336" w:rsidRDefault="42796336" w:rsidP="42796336">
          <w:pPr>
            <w:pStyle w:val="Header"/>
            <w:jc w:val="center"/>
          </w:pPr>
        </w:p>
      </w:tc>
      <w:tc>
        <w:tcPr>
          <w:tcW w:w="3120" w:type="dxa"/>
        </w:tcPr>
        <w:p w14:paraId="58485EB9" w14:textId="14558B7B" w:rsidR="42796336" w:rsidRDefault="42796336" w:rsidP="42796336">
          <w:pPr>
            <w:pStyle w:val="Header"/>
            <w:ind w:right="-115"/>
            <w:jc w:val="right"/>
          </w:pPr>
        </w:p>
      </w:tc>
    </w:tr>
  </w:tbl>
  <w:p w14:paraId="1D32FA00" w14:textId="14E8F1FF" w:rsidR="42796336" w:rsidRDefault="42796336" w:rsidP="42796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D5F7" w14:textId="77777777" w:rsidR="00123F2B" w:rsidRDefault="00123F2B">
      <w:pPr>
        <w:spacing w:after="0" w:line="240" w:lineRule="auto"/>
      </w:pPr>
      <w:r>
        <w:separator/>
      </w:r>
    </w:p>
  </w:footnote>
  <w:footnote w:type="continuationSeparator" w:id="0">
    <w:p w14:paraId="73239A05" w14:textId="77777777" w:rsidR="00123F2B" w:rsidRDefault="00123F2B">
      <w:pPr>
        <w:spacing w:after="0" w:line="240" w:lineRule="auto"/>
      </w:pPr>
      <w:r>
        <w:continuationSeparator/>
      </w:r>
    </w:p>
  </w:footnote>
  <w:footnote w:type="continuationNotice" w:id="1">
    <w:p w14:paraId="0ACE4E0F" w14:textId="77777777" w:rsidR="00123F2B" w:rsidRDefault="00123F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414E" w14:textId="1D2C4455" w:rsidR="42796336" w:rsidRPr="003046E5" w:rsidRDefault="003046E5" w:rsidP="003046E5">
    <w:pPr>
      <w:pStyle w:val="Header"/>
      <w:jc w:val="center"/>
      <w:rPr>
        <w:b/>
        <w:bCs/>
        <w:sz w:val="24"/>
        <w:szCs w:val="24"/>
      </w:rPr>
    </w:pPr>
    <w:r w:rsidRPr="003046E5">
      <w:rPr>
        <w:b/>
        <w:bCs/>
        <w:sz w:val="24"/>
        <w:szCs w:val="24"/>
      </w:rPr>
      <w:t>Procurement Executives Group</w:t>
    </w:r>
  </w:p>
  <w:p w14:paraId="0CBC7F6C" w14:textId="56F49354" w:rsidR="003046E5" w:rsidRPr="003046E5" w:rsidRDefault="003046E5" w:rsidP="003046E5">
    <w:pPr>
      <w:pStyle w:val="Header"/>
      <w:jc w:val="center"/>
      <w:rPr>
        <w:b/>
        <w:bCs/>
        <w:sz w:val="24"/>
        <w:szCs w:val="24"/>
      </w:rPr>
    </w:pPr>
    <w:r w:rsidRPr="003046E5">
      <w:rPr>
        <w:b/>
        <w:bCs/>
        <w:sz w:val="24"/>
        <w:szCs w:val="24"/>
      </w:rPr>
      <w:t>Sustainability and Sustainable Supply Chain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2F52"/>
    <w:multiLevelType w:val="hybridMultilevel"/>
    <w:tmpl w:val="FFFFFFFF"/>
    <w:lvl w:ilvl="0" w:tplc="7D545CE6">
      <w:start w:val="1"/>
      <w:numFmt w:val="bullet"/>
      <w:lvlText w:val="-"/>
      <w:lvlJc w:val="left"/>
      <w:pPr>
        <w:ind w:left="720" w:hanging="360"/>
      </w:pPr>
      <w:rPr>
        <w:rFonts w:ascii="Calibri" w:hAnsi="Calibri" w:hint="default"/>
      </w:rPr>
    </w:lvl>
    <w:lvl w:ilvl="1" w:tplc="3BE08626">
      <w:start w:val="1"/>
      <w:numFmt w:val="bullet"/>
      <w:lvlText w:val="o"/>
      <w:lvlJc w:val="left"/>
      <w:pPr>
        <w:ind w:left="1440" w:hanging="360"/>
      </w:pPr>
      <w:rPr>
        <w:rFonts w:ascii="Courier New" w:hAnsi="Courier New" w:hint="default"/>
      </w:rPr>
    </w:lvl>
    <w:lvl w:ilvl="2" w:tplc="E938A248">
      <w:start w:val="1"/>
      <w:numFmt w:val="bullet"/>
      <w:lvlText w:val=""/>
      <w:lvlJc w:val="left"/>
      <w:pPr>
        <w:ind w:left="2160" w:hanging="360"/>
      </w:pPr>
      <w:rPr>
        <w:rFonts w:ascii="Wingdings" w:hAnsi="Wingdings" w:hint="default"/>
      </w:rPr>
    </w:lvl>
    <w:lvl w:ilvl="3" w:tplc="3A2E70FA">
      <w:start w:val="1"/>
      <w:numFmt w:val="bullet"/>
      <w:lvlText w:val=""/>
      <w:lvlJc w:val="left"/>
      <w:pPr>
        <w:ind w:left="2880" w:hanging="360"/>
      </w:pPr>
      <w:rPr>
        <w:rFonts w:ascii="Symbol" w:hAnsi="Symbol" w:hint="default"/>
      </w:rPr>
    </w:lvl>
    <w:lvl w:ilvl="4" w:tplc="9AFAEE24">
      <w:start w:val="1"/>
      <w:numFmt w:val="bullet"/>
      <w:lvlText w:val="o"/>
      <w:lvlJc w:val="left"/>
      <w:pPr>
        <w:ind w:left="3600" w:hanging="360"/>
      </w:pPr>
      <w:rPr>
        <w:rFonts w:ascii="Courier New" w:hAnsi="Courier New" w:hint="default"/>
      </w:rPr>
    </w:lvl>
    <w:lvl w:ilvl="5" w:tplc="843ED8E2">
      <w:start w:val="1"/>
      <w:numFmt w:val="bullet"/>
      <w:lvlText w:val=""/>
      <w:lvlJc w:val="left"/>
      <w:pPr>
        <w:ind w:left="4320" w:hanging="360"/>
      </w:pPr>
      <w:rPr>
        <w:rFonts w:ascii="Wingdings" w:hAnsi="Wingdings" w:hint="default"/>
      </w:rPr>
    </w:lvl>
    <w:lvl w:ilvl="6" w:tplc="D1261730">
      <w:start w:val="1"/>
      <w:numFmt w:val="bullet"/>
      <w:lvlText w:val=""/>
      <w:lvlJc w:val="left"/>
      <w:pPr>
        <w:ind w:left="5040" w:hanging="360"/>
      </w:pPr>
      <w:rPr>
        <w:rFonts w:ascii="Symbol" w:hAnsi="Symbol" w:hint="default"/>
      </w:rPr>
    </w:lvl>
    <w:lvl w:ilvl="7" w:tplc="DC846B40">
      <w:start w:val="1"/>
      <w:numFmt w:val="bullet"/>
      <w:lvlText w:val="o"/>
      <w:lvlJc w:val="left"/>
      <w:pPr>
        <w:ind w:left="5760" w:hanging="360"/>
      </w:pPr>
      <w:rPr>
        <w:rFonts w:ascii="Courier New" w:hAnsi="Courier New" w:hint="default"/>
      </w:rPr>
    </w:lvl>
    <w:lvl w:ilvl="8" w:tplc="1788FF5A">
      <w:start w:val="1"/>
      <w:numFmt w:val="bullet"/>
      <w:lvlText w:val=""/>
      <w:lvlJc w:val="left"/>
      <w:pPr>
        <w:ind w:left="6480" w:hanging="360"/>
      </w:pPr>
      <w:rPr>
        <w:rFonts w:ascii="Wingdings" w:hAnsi="Wingdings" w:hint="default"/>
      </w:rPr>
    </w:lvl>
  </w:abstractNum>
  <w:abstractNum w:abstractNumId="1" w15:restartNumberingAfterBreak="0">
    <w:nsid w:val="1E496DCC"/>
    <w:multiLevelType w:val="hybridMultilevel"/>
    <w:tmpl w:val="FFFFFFFF"/>
    <w:lvl w:ilvl="0" w:tplc="82186168">
      <w:start w:val="1"/>
      <w:numFmt w:val="bullet"/>
      <w:lvlText w:val=""/>
      <w:lvlJc w:val="left"/>
      <w:pPr>
        <w:ind w:left="720" w:hanging="360"/>
      </w:pPr>
      <w:rPr>
        <w:rFonts w:ascii="Symbol" w:hAnsi="Symbol" w:hint="default"/>
      </w:rPr>
    </w:lvl>
    <w:lvl w:ilvl="1" w:tplc="64E4ED18">
      <w:start w:val="1"/>
      <w:numFmt w:val="bullet"/>
      <w:lvlText w:val="o"/>
      <w:lvlJc w:val="left"/>
      <w:pPr>
        <w:ind w:left="1440" w:hanging="360"/>
      </w:pPr>
      <w:rPr>
        <w:rFonts w:ascii="Courier New" w:hAnsi="Courier New" w:hint="default"/>
      </w:rPr>
    </w:lvl>
    <w:lvl w:ilvl="2" w:tplc="42284D58">
      <w:start w:val="1"/>
      <w:numFmt w:val="bullet"/>
      <w:lvlText w:val=""/>
      <w:lvlJc w:val="left"/>
      <w:pPr>
        <w:ind w:left="2160" w:hanging="360"/>
      </w:pPr>
      <w:rPr>
        <w:rFonts w:ascii="Wingdings" w:hAnsi="Wingdings" w:hint="default"/>
      </w:rPr>
    </w:lvl>
    <w:lvl w:ilvl="3" w:tplc="A15481FA">
      <w:start w:val="1"/>
      <w:numFmt w:val="bullet"/>
      <w:lvlText w:val=""/>
      <w:lvlJc w:val="left"/>
      <w:pPr>
        <w:ind w:left="2880" w:hanging="360"/>
      </w:pPr>
      <w:rPr>
        <w:rFonts w:ascii="Symbol" w:hAnsi="Symbol" w:hint="default"/>
      </w:rPr>
    </w:lvl>
    <w:lvl w:ilvl="4" w:tplc="EDEE5BFA">
      <w:start w:val="1"/>
      <w:numFmt w:val="bullet"/>
      <w:lvlText w:val="o"/>
      <w:lvlJc w:val="left"/>
      <w:pPr>
        <w:ind w:left="3600" w:hanging="360"/>
      </w:pPr>
      <w:rPr>
        <w:rFonts w:ascii="Courier New" w:hAnsi="Courier New" w:hint="default"/>
      </w:rPr>
    </w:lvl>
    <w:lvl w:ilvl="5" w:tplc="F9E46450">
      <w:start w:val="1"/>
      <w:numFmt w:val="bullet"/>
      <w:lvlText w:val=""/>
      <w:lvlJc w:val="left"/>
      <w:pPr>
        <w:ind w:left="4320" w:hanging="360"/>
      </w:pPr>
      <w:rPr>
        <w:rFonts w:ascii="Wingdings" w:hAnsi="Wingdings" w:hint="default"/>
      </w:rPr>
    </w:lvl>
    <w:lvl w:ilvl="6" w:tplc="EC0ACE22">
      <w:start w:val="1"/>
      <w:numFmt w:val="bullet"/>
      <w:lvlText w:val=""/>
      <w:lvlJc w:val="left"/>
      <w:pPr>
        <w:ind w:left="5040" w:hanging="360"/>
      </w:pPr>
      <w:rPr>
        <w:rFonts w:ascii="Symbol" w:hAnsi="Symbol" w:hint="default"/>
      </w:rPr>
    </w:lvl>
    <w:lvl w:ilvl="7" w:tplc="96329888">
      <w:start w:val="1"/>
      <w:numFmt w:val="bullet"/>
      <w:lvlText w:val="o"/>
      <w:lvlJc w:val="left"/>
      <w:pPr>
        <w:ind w:left="5760" w:hanging="360"/>
      </w:pPr>
      <w:rPr>
        <w:rFonts w:ascii="Courier New" w:hAnsi="Courier New" w:hint="default"/>
      </w:rPr>
    </w:lvl>
    <w:lvl w:ilvl="8" w:tplc="1FCAF096">
      <w:start w:val="1"/>
      <w:numFmt w:val="bullet"/>
      <w:lvlText w:val=""/>
      <w:lvlJc w:val="left"/>
      <w:pPr>
        <w:ind w:left="6480" w:hanging="360"/>
      </w:pPr>
      <w:rPr>
        <w:rFonts w:ascii="Wingdings" w:hAnsi="Wingdings" w:hint="default"/>
      </w:rPr>
    </w:lvl>
  </w:abstractNum>
  <w:abstractNum w:abstractNumId="2" w15:restartNumberingAfterBreak="0">
    <w:nsid w:val="5C3060C4"/>
    <w:multiLevelType w:val="hybridMultilevel"/>
    <w:tmpl w:val="255C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F1460C"/>
    <w:multiLevelType w:val="hybridMultilevel"/>
    <w:tmpl w:val="1C9E6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AF5595"/>
    <w:multiLevelType w:val="hybridMultilevel"/>
    <w:tmpl w:val="F5E2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5663A"/>
    <w:multiLevelType w:val="hybridMultilevel"/>
    <w:tmpl w:val="0C662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3A4198"/>
    <w:multiLevelType w:val="hybridMultilevel"/>
    <w:tmpl w:val="54D60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7824258">
    <w:abstractNumId w:val="1"/>
  </w:num>
  <w:num w:numId="2" w16cid:durableId="608051301">
    <w:abstractNumId w:val="0"/>
  </w:num>
  <w:num w:numId="3" w16cid:durableId="1763990566">
    <w:abstractNumId w:val="5"/>
  </w:num>
  <w:num w:numId="4" w16cid:durableId="192305867">
    <w:abstractNumId w:val="6"/>
  </w:num>
  <w:num w:numId="5" w16cid:durableId="2028210682">
    <w:abstractNumId w:val="2"/>
  </w:num>
  <w:num w:numId="6" w16cid:durableId="873999054">
    <w:abstractNumId w:val="3"/>
  </w:num>
  <w:num w:numId="7" w16cid:durableId="262617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29967B"/>
    <w:rsid w:val="0002769D"/>
    <w:rsid w:val="000365A5"/>
    <w:rsid w:val="00072E0A"/>
    <w:rsid w:val="000A0F9D"/>
    <w:rsid w:val="000B55C8"/>
    <w:rsid w:val="000C48FE"/>
    <w:rsid w:val="000D1C27"/>
    <w:rsid w:val="000D3778"/>
    <w:rsid w:val="000F4AD0"/>
    <w:rsid w:val="000F51B3"/>
    <w:rsid w:val="00123F2B"/>
    <w:rsid w:val="001731E2"/>
    <w:rsid w:val="001A34D6"/>
    <w:rsid w:val="001B72EA"/>
    <w:rsid w:val="00224149"/>
    <w:rsid w:val="0027674F"/>
    <w:rsid w:val="00297013"/>
    <w:rsid w:val="00303CF5"/>
    <w:rsid w:val="003046E5"/>
    <w:rsid w:val="00307EC5"/>
    <w:rsid w:val="003479CD"/>
    <w:rsid w:val="003B62FC"/>
    <w:rsid w:val="003E2072"/>
    <w:rsid w:val="003F211B"/>
    <w:rsid w:val="003F227E"/>
    <w:rsid w:val="00423965"/>
    <w:rsid w:val="00440DB4"/>
    <w:rsid w:val="00447201"/>
    <w:rsid w:val="00464EBF"/>
    <w:rsid w:val="00471912"/>
    <w:rsid w:val="0047373E"/>
    <w:rsid w:val="004C737C"/>
    <w:rsid w:val="005020CB"/>
    <w:rsid w:val="00534DFE"/>
    <w:rsid w:val="005517B1"/>
    <w:rsid w:val="005668FC"/>
    <w:rsid w:val="00572303"/>
    <w:rsid w:val="005B2AA0"/>
    <w:rsid w:val="005D2A2D"/>
    <w:rsid w:val="005E6BFA"/>
    <w:rsid w:val="005F36EC"/>
    <w:rsid w:val="0067282B"/>
    <w:rsid w:val="00685EBF"/>
    <w:rsid w:val="006979EC"/>
    <w:rsid w:val="006C0647"/>
    <w:rsid w:val="00731408"/>
    <w:rsid w:val="00760B22"/>
    <w:rsid w:val="00763256"/>
    <w:rsid w:val="007847F8"/>
    <w:rsid w:val="00784F17"/>
    <w:rsid w:val="007B20F7"/>
    <w:rsid w:val="007C225C"/>
    <w:rsid w:val="0084775A"/>
    <w:rsid w:val="00855180"/>
    <w:rsid w:val="008C3E3F"/>
    <w:rsid w:val="00945916"/>
    <w:rsid w:val="009566DE"/>
    <w:rsid w:val="009E1F61"/>
    <w:rsid w:val="009F0D62"/>
    <w:rsid w:val="009F59AD"/>
    <w:rsid w:val="00A341F5"/>
    <w:rsid w:val="00A54A20"/>
    <w:rsid w:val="00A6137D"/>
    <w:rsid w:val="00AA302F"/>
    <w:rsid w:val="00AC2BB8"/>
    <w:rsid w:val="00AD264A"/>
    <w:rsid w:val="00AF2D40"/>
    <w:rsid w:val="00AF63DB"/>
    <w:rsid w:val="00B170E5"/>
    <w:rsid w:val="00B6596F"/>
    <w:rsid w:val="00BF6CC0"/>
    <w:rsid w:val="00C9577A"/>
    <w:rsid w:val="00CA1E54"/>
    <w:rsid w:val="00CA326F"/>
    <w:rsid w:val="00D13202"/>
    <w:rsid w:val="00D20755"/>
    <w:rsid w:val="00D835B6"/>
    <w:rsid w:val="00E576B2"/>
    <w:rsid w:val="00F000AE"/>
    <w:rsid w:val="00F05854"/>
    <w:rsid w:val="00F24E02"/>
    <w:rsid w:val="00F62396"/>
    <w:rsid w:val="00F66969"/>
    <w:rsid w:val="00FC2EB5"/>
    <w:rsid w:val="00FD2D91"/>
    <w:rsid w:val="00FF0F42"/>
    <w:rsid w:val="016A9003"/>
    <w:rsid w:val="01D92360"/>
    <w:rsid w:val="04829DBD"/>
    <w:rsid w:val="04CA177D"/>
    <w:rsid w:val="06AA64C3"/>
    <w:rsid w:val="07320049"/>
    <w:rsid w:val="07DCA031"/>
    <w:rsid w:val="0871A87E"/>
    <w:rsid w:val="08863A6E"/>
    <w:rsid w:val="08898014"/>
    <w:rsid w:val="09134A33"/>
    <w:rsid w:val="0978CBA1"/>
    <w:rsid w:val="09B8DDA7"/>
    <w:rsid w:val="0A24CA86"/>
    <w:rsid w:val="0A2CDE4F"/>
    <w:rsid w:val="0A75BE3F"/>
    <w:rsid w:val="0AAAEE2B"/>
    <w:rsid w:val="0AE52B70"/>
    <w:rsid w:val="0BB7D880"/>
    <w:rsid w:val="0C20A6DE"/>
    <w:rsid w:val="0C4290DC"/>
    <w:rsid w:val="0C8829A6"/>
    <w:rsid w:val="0C94938D"/>
    <w:rsid w:val="0CAC7054"/>
    <w:rsid w:val="0CB06C63"/>
    <w:rsid w:val="0CD0A1D2"/>
    <w:rsid w:val="0D5C6B48"/>
    <w:rsid w:val="0E9289E1"/>
    <w:rsid w:val="0FB89C93"/>
    <w:rsid w:val="0FE80D25"/>
    <w:rsid w:val="11546CF4"/>
    <w:rsid w:val="1194D05C"/>
    <w:rsid w:val="11EF7AA9"/>
    <w:rsid w:val="12889FA9"/>
    <w:rsid w:val="1463A2C0"/>
    <w:rsid w:val="14A56AF1"/>
    <w:rsid w:val="156F90F6"/>
    <w:rsid w:val="158DC03F"/>
    <w:rsid w:val="15AE60C7"/>
    <w:rsid w:val="161A16C7"/>
    <w:rsid w:val="1722CEDF"/>
    <w:rsid w:val="172F38C6"/>
    <w:rsid w:val="194DD02A"/>
    <w:rsid w:val="1C0922AE"/>
    <w:rsid w:val="1F509C13"/>
    <w:rsid w:val="1F61FA4F"/>
    <w:rsid w:val="1F9FC9A2"/>
    <w:rsid w:val="20BA3123"/>
    <w:rsid w:val="20F1F3E2"/>
    <w:rsid w:val="20F6D7DA"/>
    <w:rsid w:val="22452B54"/>
    <w:rsid w:val="22C5D460"/>
    <w:rsid w:val="2456B964"/>
    <w:rsid w:val="25610616"/>
    <w:rsid w:val="27480D09"/>
    <w:rsid w:val="27CB254E"/>
    <w:rsid w:val="2839F479"/>
    <w:rsid w:val="285AD67B"/>
    <w:rsid w:val="28CDC0E5"/>
    <w:rsid w:val="29872CB0"/>
    <w:rsid w:val="2AC9C4B4"/>
    <w:rsid w:val="2ACA2751"/>
    <w:rsid w:val="2B3C2C4B"/>
    <w:rsid w:val="2B6F74AF"/>
    <w:rsid w:val="2C06FDEB"/>
    <w:rsid w:val="2C6BB89C"/>
    <w:rsid w:val="2EC257C2"/>
    <w:rsid w:val="2F3E7F67"/>
    <w:rsid w:val="329FB8EA"/>
    <w:rsid w:val="32E3795C"/>
    <w:rsid w:val="33D9DBD2"/>
    <w:rsid w:val="33E02B4D"/>
    <w:rsid w:val="35CA4DF8"/>
    <w:rsid w:val="3614BC19"/>
    <w:rsid w:val="378212DA"/>
    <w:rsid w:val="37EAA516"/>
    <w:rsid w:val="38E4CA4E"/>
    <w:rsid w:val="38F6380E"/>
    <w:rsid w:val="3906A565"/>
    <w:rsid w:val="3A341144"/>
    <w:rsid w:val="3A809AAF"/>
    <w:rsid w:val="3A99A5B5"/>
    <w:rsid w:val="3B9E8635"/>
    <w:rsid w:val="3BBCDB02"/>
    <w:rsid w:val="3C44BFF7"/>
    <w:rsid w:val="3CBE0EE8"/>
    <w:rsid w:val="3CC8D498"/>
    <w:rsid w:val="3CCAFEF9"/>
    <w:rsid w:val="3CEDA22A"/>
    <w:rsid w:val="3D4EAA8E"/>
    <w:rsid w:val="3DCDB3B3"/>
    <w:rsid w:val="402542EC"/>
    <w:rsid w:val="40EFDC33"/>
    <w:rsid w:val="41090490"/>
    <w:rsid w:val="419E102F"/>
    <w:rsid w:val="42796336"/>
    <w:rsid w:val="42D32295"/>
    <w:rsid w:val="4329967B"/>
    <w:rsid w:val="448A199D"/>
    <w:rsid w:val="44BF53A0"/>
    <w:rsid w:val="44D05792"/>
    <w:rsid w:val="44D9A703"/>
    <w:rsid w:val="475F1DB7"/>
    <w:rsid w:val="49C6D6A4"/>
    <w:rsid w:val="4B76C3BA"/>
    <w:rsid w:val="4CEA9D97"/>
    <w:rsid w:val="4D709AF9"/>
    <w:rsid w:val="4D7D2413"/>
    <w:rsid w:val="4E6C6C0C"/>
    <w:rsid w:val="4FE6D1A3"/>
    <w:rsid w:val="50223E59"/>
    <w:rsid w:val="512087A4"/>
    <w:rsid w:val="53319639"/>
    <w:rsid w:val="55639E16"/>
    <w:rsid w:val="56284240"/>
    <w:rsid w:val="58246794"/>
    <w:rsid w:val="5828B228"/>
    <w:rsid w:val="5853D826"/>
    <w:rsid w:val="5918FF68"/>
    <w:rsid w:val="59B432CC"/>
    <w:rsid w:val="5A68EBBC"/>
    <w:rsid w:val="5ABE52B4"/>
    <w:rsid w:val="5C3E932B"/>
    <w:rsid w:val="5CFF068C"/>
    <w:rsid w:val="5D556353"/>
    <w:rsid w:val="5D643D7C"/>
    <w:rsid w:val="5D9F54E3"/>
    <w:rsid w:val="5F6C3503"/>
    <w:rsid w:val="5FB1E0ED"/>
    <w:rsid w:val="5FB42C24"/>
    <w:rsid w:val="615D9697"/>
    <w:rsid w:val="61A42A99"/>
    <w:rsid w:val="6216278C"/>
    <w:rsid w:val="621AEFDB"/>
    <w:rsid w:val="64937D0D"/>
    <w:rsid w:val="66CE2B8F"/>
    <w:rsid w:val="66EE60FE"/>
    <w:rsid w:val="68083B9F"/>
    <w:rsid w:val="6846B402"/>
    <w:rsid w:val="68A70654"/>
    <w:rsid w:val="68B3630F"/>
    <w:rsid w:val="69641D67"/>
    <w:rsid w:val="6976EA15"/>
    <w:rsid w:val="6CDBACC2"/>
    <w:rsid w:val="6D78C236"/>
    <w:rsid w:val="6E7BA98C"/>
    <w:rsid w:val="71587028"/>
    <w:rsid w:val="719EDF78"/>
    <w:rsid w:val="7218CBBC"/>
    <w:rsid w:val="7249B7C9"/>
    <w:rsid w:val="7329CEC6"/>
    <w:rsid w:val="74024AF3"/>
    <w:rsid w:val="7468AECB"/>
    <w:rsid w:val="74830EC4"/>
    <w:rsid w:val="74CD964A"/>
    <w:rsid w:val="777B177F"/>
    <w:rsid w:val="778F795D"/>
    <w:rsid w:val="77B7C8C0"/>
    <w:rsid w:val="78880D40"/>
    <w:rsid w:val="78DD76C0"/>
    <w:rsid w:val="78FAFCC6"/>
    <w:rsid w:val="797AEFBF"/>
    <w:rsid w:val="7AEF288F"/>
    <w:rsid w:val="7B3CD7CE"/>
    <w:rsid w:val="7B768DFB"/>
    <w:rsid w:val="7BA28996"/>
    <w:rsid w:val="7BBBB1F3"/>
    <w:rsid w:val="7D5B7E63"/>
    <w:rsid w:val="7DFC616B"/>
    <w:rsid w:val="7E321CEA"/>
    <w:rsid w:val="7FD90E9E"/>
    <w:rsid w:val="7FFD4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967B"/>
  <w15:chartTrackingRefBased/>
  <w15:docId w15:val="{0289ADF0-7795-4639-9F7B-D2BD0917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AA302F"/>
    <w:pPr>
      <w:ind w:left="720"/>
      <w:contextualSpacing/>
    </w:pPr>
  </w:style>
  <w:style w:type="character" w:styleId="Hyperlink">
    <w:name w:val="Hyperlink"/>
    <w:basedOn w:val="DefaultParagraphFont"/>
    <w:uiPriority w:val="99"/>
    <w:unhideWhenUsed/>
    <w:rsid w:val="00FD2D91"/>
    <w:rPr>
      <w:color w:val="0563C1" w:themeColor="hyperlink"/>
      <w:u w:val="single"/>
    </w:rPr>
  </w:style>
  <w:style w:type="character" w:styleId="UnresolvedMention">
    <w:name w:val="Unresolved Mention"/>
    <w:basedOn w:val="DefaultParagraphFont"/>
    <w:uiPriority w:val="99"/>
    <w:semiHidden/>
    <w:unhideWhenUsed/>
    <w:rsid w:val="00FD2D91"/>
    <w:rPr>
      <w:color w:val="605E5C"/>
      <w:shd w:val="clear" w:color="auto" w:fill="E1DFDD"/>
    </w:rPr>
  </w:style>
  <w:style w:type="character" w:styleId="FollowedHyperlink">
    <w:name w:val="FollowedHyperlink"/>
    <w:basedOn w:val="DefaultParagraphFont"/>
    <w:uiPriority w:val="99"/>
    <w:semiHidden/>
    <w:unhideWhenUsed/>
    <w:rsid w:val="00B170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arn.supplychainschool.co.uk/local/tlactionplans/resources.php?term=" TargetMode="External"/><Relationship Id="rId18" Type="http://schemas.openxmlformats.org/officeDocument/2006/relationships/hyperlink" Target="https://academy.ecovadis.com/learn/catalog/view/69"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1.reutersevents.com/LP=33120?extsource=media_partner_issp_brochure" TargetMode="External"/><Relationship Id="rId7" Type="http://schemas.openxmlformats.org/officeDocument/2006/relationships/webSettings" Target="webSettings.xml"/><Relationship Id="rId12" Type="http://schemas.openxmlformats.org/officeDocument/2006/relationships/hyperlink" Target="https://www.edx.org/course/sustainable-supply-chain-planning-sourcing-and-procurement" TargetMode="External"/><Relationship Id="rId17" Type="http://schemas.openxmlformats.org/officeDocument/2006/relationships/hyperlink" Target="https://academy.ecovadis.com/learn/catalog/view/69"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br.org/2022/05/how-exposed-is-your-supply-chain-to-climate-risks" TargetMode="External"/><Relationship Id="rId20" Type="http://schemas.openxmlformats.org/officeDocument/2006/relationships/hyperlink" Target="https://www.cdp.net/en/events/supply-chain-member-summ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x.org/course/introduction-to-corporate-sustainability-social-in?index=product&amp;queryID=67c5259ae4afd284e825d15638632ed5&amp;position=1" TargetMode="External"/><Relationship Id="rId24" Type="http://schemas.openxmlformats.org/officeDocument/2006/relationships/hyperlink" Target="https://www.mbacentral.org/free-online-sustainability-courses/" TargetMode="External"/><Relationship Id="rId5" Type="http://schemas.openxmlformats.org/officeDocument/2006/relationships/styles" Target="styles.xml"/><Relationship Id="rId15" Type="http://schemas.openxmlformats.org/officeDocument/2006/relationships/hyperlink" Target="https://www.mckinsey.com/business-functions/sustainability/our-insights/could-climate-become-the-weak-link-in-your-supply-chain" TargetMode="External"/><Relationship Id="rId23" Type="http://schemas.openxmlformats.org/officeDocument/2006/relationships/hyperlink" Target="https://live.moodys.io/supply-chain-in-focus" TargetMode="External"/><Relationship Id="rId28" Type="http://schemas.openxmlformats.org/officeDocument/2006/relationships/theme" Target="theme/theme1.xml"/><Relationship Id="rId10" Type="http://schemas.openxmlformats.org/officeDocument/2006/relationships/hyperlink" Target="https://nam12.safelinks.protection.outlook.com/?url=https%3A%2F%2Fwww.coursera.org%2Flearn%2Fsdgbusiness&amp;data=05%7C01%7Camservay%40burnsmcd.com%7C2a42b752abc543799f9008da7962a974%7Cbfbb9a2b6d994e78b3c795005d555c8b%7C0%7C0%7C637955761900028772%7CUnknown%7CTWFpbGZsb3d8eyJWIjoiMC4wLjAwMDAiLCJQIjoiV2luMzIiLCJBTiI6Ik1haWwiLCJXVCI6Mn0%3D%7C3000%7C%7C%7C&amp;sdata=ObB2Xa17KXH8KGAPeosGrHeles%2FdBgibIrj2m%2BSE1z0%3D&amp;reserved=0" TargetMode="External"/><Relationship Id="rId19" Type="http://schemas.openxmlformats.org/officeDocument/2006/relationships/hyperlink" Target="https://community.sustainablepurchasing.org/wp-login.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dn.cdp.net/cdp-production/cms/reports/documents/000/006/106/original/CDP_SC_Report_2021.pdf?1644513297" TargetMode="External"/><Relationship Id="rId22" Type="http://schemas.openxmlformats.org/officeDocument/2006/relationships/hyperlink" Target="https://www.iscea.org/cssc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D294ECFE7A494289A1D6D2E1AAAA69" ma:contentTypeVersion="6" ma:contentTypeDescription="Create a new document." ma:contentTypeScope="" ma:versionID="8966e72cbbe263a6ca1a3971c2fc4c68">
  <xsd:schema xmlns:xsd="http://www.w3.org/2001/XMLSchema" xmlns:xs="http://www.w3.org/2001/XMLSchema" xmlns:p="http://schemas.microsoft.com/office/2006/metadata/properties" xmlns:ns2="b974c19e-1beb-45a4-844e-f7c3cc224849" xmlns:ns3="d7dd0d2f-a288-4784-8939-0a5f3067d7ec" targetNamespace="http://schemas.microsoft.com/office/2006/metadata/properties" ma:root="true" ma:fieldsID="389b190fa5b7173935c1724eda8e2195" ns2:_="" ns3:_="">
    <xsd:import namespace="b974c19e-1beb-45a4-844e-f7c3cc224849"/>
    <xsd:import namespace="d7dd0d2f-a288-4784-8939-0a5f3067d7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4c19e-1beb-45a4-844e-f7c3cc2248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dd0d2f-a288-4784-8939-0a5f3067d7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A4B7C-7A2B-44B5-8431-AE0ACDBC41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CFA1C6-0387-4305-878F-88E509574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4c19e-1beb-45a4-844e-f7c3cc224849"/>
    <ds:schemaRef ds:uri="d7dd0d2f-a288-4784-8939-0a5f3067d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58C2E-C06F-4A21-BE7E-4099AB4F4E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981</Words>
  <Characters>5595</Characters>
  <Application>Microsoft Office Word</Application>
  <DocSecurity>0</DocSecurity>
  <Lines>46</Lines>
  <Paragraphs>13</Paragraphs>
  <ScaleCrop>false</ScaleCrop>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Servay, Anna M</dc:creator>
  <cp:keywords/>
  <dc:description/>
  <cp:lastModifiedBy>Dietrich, Doug</cp:lastModifiedBy>
  <cp:revision>11</cp:revision>
  <dcterms:created xsi:type="dcterms:W3CDTF">2022-09-26T19:04:00Z</dcterms:created>
  <dcterms:modified xsi:type="dcterms:W3CDTF">2022-09-26T19:12:00Z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0x01010054D294ECFE7A494289A1D6D2E1AAAA69</vt:lpwstr>
  </property>
</Properties>
</file>